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83" w:rsidRPr="008E1B83" w:rsidRDefault="003157BA" w:rsidP="003157B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157BA">
        <w:rPr>
          <w:rFonts w:ascii="Times New Roman" w:eastAsia="Times New Roman" w:hAnsi="Times New Roman" w:cs="Times New Roman"/>
          <w:sz w:val="24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8pt;height:698.55pt" o:ole="">
            <v:imagedata r:id="rId6" o:title=""/>
          </v:shape>
          <o:OLEObject Type="Embed" ProgID="AcroExch.Document.11" ShapeID="_x0000_i1025" DrawAspect="Content" ObjectID="_1634366111" r:id="rId7"/>
        </w:object>
      </w:r>
    </w:p>
    <w:p w:rsidR="008E1B83" w:rsidRDefault="008E1B83" w:rsidP="00315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8E1B83" w:rsidSect="00287E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1B83" w:rsidRDefault="008E1B83" w:rsidP="008E1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для 8 класса разработана </w:t>
      </w:r>
      <w:r w:rsidR="00B10CF6">
        <w:rPr>
          <w:rFonts w:ascii="Times New Roman" w:hAnsi="Times New Roman" w:cs="Times New Roman"/>
          <w:sz w:val="24"/>
          <w:szCs w:val="24"/>
        </w:rPr>
        <w:t>на основе следующих документов: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 «Об образовании в Российской Федерации» 2012г.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Фундаментальное ядро содержания общего образования п/</w:t>
      </w:r>
      <w:proofErr w:type="spellStart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 Козлова, А.М. </w:t>
      </w:r>
      <w:proofErr w:type="spellStart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Кондакова</w:t>
      </w:r>
      <w:proofErr w:type="spellEnd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Просвещение, 2011г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  основного общего образования (Приказ </w:t>
      </w:r>
      <w:proofErr w:type="spellStart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№1897).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образования. Часть 1. Основное общее образование. 2012г.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среднего основного общего образования, 2004г.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 программа образовательного учреждения. Основная школа. Е.С. Савинов. Москва. Просвещение. 2011г.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общеобразовательных учреждений. Геометрия. 7-9 классы / авт.-сост. </w:t>
      </w:r>
      <w:proofErr w:type="spellStart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Т.А. – М. Просвещение, 2014.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</w:t>
      </w:r>
      <w:bookmarkStart w:id="0" w:name="_GoBack"/>
      <w:bookmarkEnd w:id="0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 уч. год, реализующих программы общего образования.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Calibri" w:hAnsi="Times New Roman" w:cs="Times New Roman"/>
          <w:sz w:val="24"/>
          <w:szCs w:val="24"/>
        </w:rPr>
        <w:t>Положение о структуре, порядке разработки и утверждения рабочих программ по ФГОС учителя-предметника МБОУ Исаевская ООШ.</w:t>
      </w:r>
    </w:p>
    <w:p w:rsidR="00B10CF6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10CF6" w:rsidRPr="00B1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общеобразовательная программа основного общего образования МБОУ </w:t>
      </w:r>
      <w:proofErr w:type="spellStart"/>
      <w:r w:rsidR="00B10CF6" w:rsidRPr="00B10C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Исаевская</w:t>
      </w:r>
      <w:proofErr w:type="spellEnd"/>
      <w:r w:rsidR="00B10CF6" w:rsidRPr="00B1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2019-2020 учебный год</w:t>
      </w:r>
    </w:p>
    <w:p w:rsidR="002E7FA2" w:rsidRPr="0097175B" w:rsidRDefault="00B10CF6" w:rsidP="002E7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2E7FA2" w:rsidRPr="0097175B">
        <w:rPr>
          <w:rFonts w:ascii="Times New Roman" w:eastAsia="Calibri" w:hAnsi="Times New Roman" w:cs="Times New Roman"/>
          <w:sz w:val="24"/>
          <w:szCs w:val="24"/>
        </w:rPr>
        <w:t xml:space="preserve">Учебный план МБОУ </w:t>
      </w:r>
      <w:proofErr w:type="spellStart"/>
      <w:r w:rsidR="002E7FA2" w:rsidRPr="0097175B">
        <w:rPr>
          <w:rFonts w:ascii="Times New Roman" w:eastAsia="Calibri" w:hAnsi="Times New Roman" w:cs="Times New Roman"/>
          <w:sz w:val="24"/>
          <w:szCs w:val="24"/>
        </w:rPr>
        <w:t>Исаевская</w:t>
      </w:r>
      <w:proofErr w:type="spellEnd"/>
      <w:r w:rsidR="002E7FA2" w:rsidRPr="0097175B">
        <w:rPr>
          <w:rFonts w:ascii="Times New Roman" w:eastAsia="Calibri" w:hAnsi="Times New Roman" w:cs="Times New Roman"/>
          <w:sz w:val="24"/>
          <w:szCs w:val="24"/>
        </w:rPr>
        <w:t xml:space="preserve"> ООШ на 2019-2020 учебный год. Основное общее образование.</w:t>
      </w:r>
    </w:p>
    <w:p w:rsidR="002E7FA2" w:rsidRPr="0086370A" w:rsidRDefault="002E7FA2" w:rsidP="002E7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8E1B83" w:rsidRPr="008E1B83" w:rsidRDefault="00B01D22" w:rsidP="008E1B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Задачи</w:t>
      </w:r>
      <w:r w:rsidR="008E1B83" w:rsidRPr="008E1B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интеллектуальное развитие,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представлений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знаний о пространстве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 значимых умений, фор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языка описания объектов окружающего мира, для развития пространственного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оображения и интуиции, математи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культуры, для эстетического воспитания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бучающихся. Изу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геометрии вносит вклад в развитие логического мышления, в формирование понятия доказательства. </w:t>
      </w:r>
    </w:p>
    <w:p w:rsidR="00AA10C5" w:rsidRDefault="00B01D22" w:rsidP="002E2F17">
      <w:pPr>
        <w:ind w:left="360"/>
        <w:rPr>
          <w:b/>
          <w:szCs w:val="28"/>
        </w:rPr>
      </w:pPr>
      <w:r w:rsidRPr="00AA10C5">
        <w:rPr>
          <w:rFonts w:ascii="Times New Roman" w:hAnsi="Times New Roman" w:cs="Times New Roman"/>
          <w:sz w:val="24"/>
        </w:rPr>
        <w:lastRenderedPageBreak/>
        <w:t xml:space="preserve">Курс рассчитан на общее количество </w:t>
      </w:r>
      <w:r w:rsidR="00AA10C5">
        <w:rPr>
          <w:rFonts w:ascii="Times New Roman" w:hAnsi="Times New Roman" w:cs="Times New Roman"/>
          <w:sz w:val="24"/>
        </w:rPr>
        <w:t>учебных часов за год обучения 70 (2</w:t>
      </w:r>
      <w:r w:rsidRPr="00AA10C5">
        <w:rPr>
          <w:rFonts w:ascii="Times New Roman" w:hAnsi="Times New Roman" w:cs="Times New Roman"/>
          <w:sz w:val="24"/>
        </w:rPr>
        <w:t xml:space="preserve"> час в неделю). </w:t>
      </w:r>
      <w:r w:rsidR="00AA10C5">
        <w:rPr>
          <w:b/>
          <w:szCs w:val="28"/>
        </w:rPr>
        <w:br w:type="page"/>
      </w:r>
    </w:p>
    <w:p w:rsidR="008E1B83" w:rsidRPr="00BC56B9" w:rsidRDefault="008E1B83" w:rsidP="008E1B83">
      <w:pPr>
        <w:jc w:val="center"/>
        <w:rPr>
          <w:b/>
          <w:szCs w:val="28"/>
        </w:rPr>
      </w:pPr>
      <w:r w:rsidRPr="00C70A3D">
        <w:rPr>
          <w:b/>
          <w:szCs w:val="28"/>
        </w:rPr>
        <w:lastRenderedPageBreak/>
        <w:t>ПЛАНИРУЕМЫЕ РЕЗУЛЬТАТЫ ОСВОЕНИЯ УЧЕБНОГО ПРЕДМЕТА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</w:t>
      </w:r>
      <w:r w:rsidR="00B01D22" w:rsidRPr="008E1B83">
        <w:rPr>
          <w:rFonts w:ascii="Times New Roman" w:hAnsi="Times New Roman" w:cs="Times New Roman"/>
          <w:sz w:val="24"/>
          <w:szCs w:val="24"/>
        </w:rPr>
        <w:t>готовности и способности,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и </w:t>
      </w:r>
      <w:r w:rsidR="00B01D22" w:rsidRPr="008E1B83">
        <w:rPr>
          <w:rFonts w:ascii="Times New Roman" w:hAnsi="Times New Roman" w:cs="Times New Roman"/>
          <w:sz w:val="24"/>
          <w:szCs w:val="24"/>
        </w:rPr>
        <w:t>общении,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>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регулятивные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познавательные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коммуникативные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слушать партнера;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•пользоваться геометрическим языком для описания предметов окружающего мира;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геометрические фигуры, различать их взаимное расположение;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•изображать геометрические фигуры; выполнять чертежи по условию задачи; осуществлять преобразования фигур;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на чертежах, моделях и в окружающей обстановке основные пространственные тела, изображать 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•в простейших случаях строить сечения и развертки пространственных тел;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операции над векторами, вычислять длину и координаты вектора, угол между векторами;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•вычислять значения геометрических </w:t>
      </w:r>
      <w:proofErr w:type="gram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величин(</w:t>
      </w:r>
      <w:proofErr w:type="gram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геометрические задачи, опираясь на изученные свойства фигур и отношений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 xml:space="preserve"> между ними, применяя дополнительные построения, алгебраический и тригонометрический аппарат, правила симметрии;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простейшие планиметрические задачи в пространстве.</w:t>
      </w:r>
    </w:p>
    <w:p w:rsidR="00AA10C5" w:rsidRPr="00AA10C5" w:rsidRDefault="00AA10C5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Место предмета в учебном плане </w:t>
      </w:r>
    </w:p>
    <w:p w:rsidR="00AA10C5" w:rsidRPr="00AA10C5" w:rsidRDefault="00AA10C5" w:rsidP="00AA10C5">
      <w:pPr>
        <w:ind w:left="360"/>
        <w:rPr>
          <w:rFonts w:ascii="Times New Roman" w:hAnsi="Times New Roman" w:cs="Times New Roman"/>
          <w:sz w:val="24"/>
        </w:rPr>
      </w:pPr>
      <w:r w:rsidRPr="00AA10C5">
        <w:rPr>
          <w:rFonts w:ascii="Times New Roman" w:hAnsi="Times New Roman" w:cs="Times New Roman"/>
          <w:sz w:val="24"/>
        </w:rPr>
        <w:t xml:space="preserve">Согласно учебному плану МБОУ Исаевской ООШ на 2019-2020 </w:t>
      </w:r>
      <w:proofErr w:type="spellStart"/>
      <w:r w:rsidRPr="00AA10C5">
        <w:rPr>
          <w:rFonts w:ascii="Times New Roman" w:hAnsi="Times New Roman" w:cs="Times New Roman"/>
          <w:sz w:val="24"/>
        </w:rPr>
        <w:t>уч.г</w:t>
      </w:r>
      <w:proofErr w:type="spellEnd"/>
      <w:r w:rsidRPr="00AA10C5">
        <w:rPr>
          <w:rFonts w:ascii="Times New Roman" w:hAnsi="Times New Roman" w:cs="Times New Roman"/>
          <w:sz w:val="24"/>
        </w:rPr>
        <w:t xml:space="preserve">. программа рассчитана на </w:t>
      </w:r>
      <w:r>
        <w:rPr>
          <w:rFonts w:ascii="Times New Roman" w:hAnsi="Times New Roman" w:cs="Times New Roman"/>
          <w:sz w:val="24"/>
        </w:rPr>
        <w:t>70</w:t>
      </w:r>
      <w:r w:rsidRPr="00AA10C5">
        <w:rPr>
          <w:rFonts w:ascii="Times New Roman" w:hAnsi="Times New Roman" w:cs="Times New Roman"/>
          <w:sz w:val="24"/>
        </w:rPr>
        <w:t xml:space="preserve"> часов в расчете </w:t>
      </w:r>
      <w:r>
        <w:rPr>
          <w:rFonts w:ascii="Times New Roman" w:hAnsi="Times New Roman" w:cs="Times New Roman"/>
          <w:sz w:val="24"/>
        </w:rPr>
        <w:t>2</w:t>
      </w:r>
      <w:r w:rsidRPr="00AA10C5">
        <w:rPr>
          <w:rFonts w:ascii="Times New Roman" w:hAnsi="Times New Roman" w:cs="Times New Roman"/>
          <w:sz w:val="24"/>
        </w:rPr>
        <w:t xml:space="preserve"> час в неделю. В 2019-2020 учебном году предусматривает проведение </w:t>
      </w:r>
      <w:r>
        <w:rPr>
          <w:rFonts w:ascii="Times New Roman" w:hAnsi="Times New Roman" w:cs="Times New Roman"/>
          <w:sz w:val="24"/>
        </w:rPr>
        <w:t>68</w:t>
      </w:r>
      <w:r w:rsidRPr="00AA10C5">
        <w:rPr>
          <w:rFonts w:ascii="Times New Roman" w:hAnsi="Times New Roman" w:cs="Times New Roman"/>
          <w:sz w:val="24"/>
        </w:rPr>
        <w:t xml:space="preserve"> часов. Так как заня</w:t>
      </w:r>
      <w:r>
        <w:rPr>
          <w:rFonts w:ascii="Times New Roman" w:hAnsi="Times New Roman" w:cs="Times New Roman"/>
          <w:sz w:val="24"/>
        </w:rPr>
        <w:t>тия выпадают на праздничные дни</w:t>
      </w:r>
      <w:r w:rsidRPr="00AA10C5">
        <w:rPr>
          <w:rFonts w:ascii="Times New Roman" w:hAnsi="Times New Roman" w:cs="Times New Roman"/>
          <w:sz w:val="24"/>
        </w:rPr>
        <w:t xml:space="preserve">. Прохождение учебного материала произойдет </w:t>
      </w:r>
      <w:r w:rsidR="002E2F17">
        <w:rPr>
          <w:rFonts w:ascii="Times New Roman" w:hAnsi="Times New Roman" w:cs="Times New Roman"/>
          <w:sz w:val="24"/>
        </w:rPr>
        <w:t xml:space="preserve">за счет занятий, </w:t>
      </w:r>
      <w:r w:rsidR="002E2F17">
        <w:t>занятий, выделенных на повторение.</w:t>
      </w:r>
    </w:p>
    <w:p w:rsidR="008C7645" w:rsidRPr="008E1B83" w:rsidRDefault="008C7645" w:rsidP="003A22E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Основное содержание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Четырехугольники (18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Трапеция, виды и свойства трапеции. Пря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моугольник, ромб, квадрат, их свойства. Теоремы о средней линии треугольника и трапеции. Теоремы Фалеса и Вариньона. Симметрия четырехугольников и других фигур.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вой или центральной симметрией.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Осевая и центральная симметрии вводятся не как преобразо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плоскости, а как свойства геометрических фигур, в част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четырехугольников. Рассмотрение этих понятий как дви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 плоскости состоится в 9 классе.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Площадь. Теорема Пифагора. (18часов)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Равносоставленные многоугольники. Понятие площади многоугольника. Площади квадрата, прямоуголь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параллелограмма, треугольника и трапеции. Теорема об отношении двух треугольников, имеющих по равному углу. Теорема Пи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фагора. Обратная терема Пифагора. Приложения теоремы Пифагора. Формула Герона.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и углубить полученные в 5—6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представления,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 измерении и вычисле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площадей; вывести формулы площадей прямоугольника, па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раллелограмма, треугольника, трапеции; доказать одну из глав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теорем геометрии — теорему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рата. Нетрадиционной для школьного курса является теорема об от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 подобия треугольников. В этом состоит одно из преимуществ, обусловленных ранним введением понятия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Подобные треугольники (24 часа)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Пропорциональные отрезки. Определение подобных треугольников.  Отношение площадей подобных треугольников. Признаки подобия треугольников. Применение подобия к доказательству теорем: обобщение теоремы Фалеса, теоремы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Замечательные точки треугольника и их свойства.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подобия в задачах на построение.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о подобии произвольных фигур.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Соотношения между сторонами и углами прямоугольного треугольника.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 синуса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косинуса   и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тангенса острого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прямоугольного треуголь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 Решение прямоугольных треугольников.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подобных треугольников дается не на основе преобразования подобия, а через равенство углов и пропорцио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нальность сходственных сторон.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отрезках в прямоугольном треугольнике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 представление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методе подобия в задачах на построение.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Окружность (17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прямой и окружности. Касательная к окружности. Касательная к кривой линии. Взаимное расположение окружности.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Углы, связанные с окружностью: центральные и вписанные углы, углы между хордами и секущими. Теорема о квадрате касательной.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Вписанная и описанная окружности. Формула Эйлера. Теорема Птолемея. Вневписанные окружности.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  <w:r w:rsidR="00483DC6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  Формула Эйлера. Теорема Птолемея. Вневписанные окружности.</w:t>
      </w:r>
    </w:p>
    <w:p w:rsidR="008C7645" w:rsidRPr="008E1B83" w:rsidRDefault="008E1B83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Повторение. Решение задач. (2</w:t>
      </w:r>
      <w:r w:rsidR="008C7645"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8C7645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8E1B83" w:rsidRPr="00425519" w:rsidRDefault="008E1B83" w:rsidP="008E1B83">
      <w:pPr>
        <w:pStyle w:val="a3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425519">
        <w:rPr>
          <w:color w:val="000000"/>
        </w:rPr>
        <w:t>В практике используются три </w:t>
      </w:r>
      <w:r w:rsidRPr="00425519">
        <w:rPr>
          <w:b/>
          <w:bCs/>
          <w:color w:val="000000"/>
        </w:rPr>
        <w:t>формы организации работы на уроке</w:t>
      </w:r>
      <w:r w:rsidRPr="00425519">
        <w:rPr>
          <w:color w:val="000000"/>
        </w:rPr>
        <w:t>: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индивидуально-групповые;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фронтальные;</w:t>
      </w:r>
    </w:p>
    <w:p w:rsidR="008E1B83" w:rsidRDefault="008E1B83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9">
        <w:rPr>
          <w:color w:val="000000"/>
        </w:rPr>
        <w:t>практикумы.</w:t>
      </w:r>
    </w:p>
    <w:p w:rsidR="008E1B83" w:rsidRPr="003C258C" w:rsidRDefault="008E1B83" w:rsidP="008E1B83">
      <w:pPr>
        <w:autoSpaceDE w:val="0"/>
        <w:ind w:firstLine="709"/>
        <w:jc w:val="center"/>
        <w:rPr>
          <w:b/>
        </w:rPr>
      </w:pPr>
      <w:r w:rsidRPr="003C258C">
        <w:rPr>
          <w:b/>
        </w:rPr>
        <w:t xml:space="preserve">ТЕМАТИЧЕСКОЕ РАСПРЕДЕЛЕНИЕ ЧАСОВ (курс – </w:t>
      </w:r>
      <w:r>
        <w:rPr>
          <w:b/>
        </w:rPr>
        <w:t>70</w:t>
      </w:r>
      <w:r w:rsidRPr="003C258C">
        <w:rPr>
          <w:b/>
        </w:rPr>
        <w:t>часа)</w:t>
      </w:r>
    </w:p>
    <w:tbl>
      <w:tblPr>
        <w:tblW w:w="11846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4590"/>
        <w:gridCol w:w="850"/>
        <w:gridCol w:w="1276"/>
        <w:gridCol w:w="4394"/>
      </w:tblGrid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>
              <w:t>Форма контроля (лабораторно-практические работы, контрольные работы)</w:t>
            </w:r>
          </w:p>
        </w:tc>
      </w:tr>
      <w:tr w:rsidR="00B01D22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D22" w:rsidRPr="00B01D22" w:rsidRDefault="00B01D22" w:rsidP="00F243F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snapToGrid w:val="0"/>
              <w:jc w:val="center"/>
            </w:pPr>
            <w:r>
              <w:t>Вводная контрольная работа</w:t>
            </w:r>
          </w:p>
        </w:tc>
      </w:tr>
      <w:tr w:rsidR="008E1B83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Четырехугольники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B01D22" w:rsidRDefault="00B01D22" w:rsidP="00F243FA">
            <w:pPr>
              <w:autoSpaceDE w:val="0"/>
              <w:snapToGrid w:val="0"/>
              <w:jc w:val="center"/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Площадь. Теорема Пифагора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8E1B83">
            <w:pPr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4.02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F24759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70C0"/>
              </w:rPr>
            </w:pPr>
            <w:r>
              <w:rPr>
                <w:bCs/>
              </w:rPr>
              <w:t>Подобные треугольники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7.04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Окружность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 xml:space="preserve">Контрольная работа </w:t>
            </w:r>
            <w:r w:rsidR="008E1B83">
              <w:t>-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>Итоговая 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</w:tr>
    </w:tbl>
    <w:p w:rsidR="00B01D22" w:rsidRDefault="00B01D22" w:rsidP="00B01D22">
      <w:pPr>
        <w:spacing w:line="240" w:lineRule="auto"/>
        <w:ind w:left="426"/>
        <w:rPr>
          <w:b/>
        </w:rPr>
      </w:pPr>
    </w:p>
    <w:p w:rsidR="00AA10C5" w:rsidRDefault="00AA10C5" w:rsidP="00B01D22">
      <w:pPr>
        <w:spacing w:line="240" w:lineRule="auto"/>
        <w:ind w:left="426"/>
        <w:jc w:val="center"/>
        <w:rPr>
          <w:b/>
        </w:rPr>
      </w:pPr>
    </w:p>
    <w:p w:rsidR="00B01D22" w:rsidRDefault="00B01D22" w:rsidP="00B01D22">
      <w:pPr>
        <w:spacing w:line="240" w:lineRule="auto"/>
        <w:ind w:left="426"/>
        <w:jc w:val="center"/>
        <w:rPr>
          <w:b/>
        </w:rPr>
      </w:pPr>
      <w:r>
        <w:rPr>
          <w:b/>
        </w:rPr>
        <w:t>КАЛЕНДАРНО-ТЕМАТИЧЕСКОЕ ПЛАНИРОВАНИЕ 8 КЛАСС</w:t>
      </w:r>
    </w:p>
    <w:tbl>
      <w:tblPr>
        <w:tblW w:w="13857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839"/>
        <w:gridCol w:w="7371"/>
        <w:gridCol w:w="1560"/>
        <w:gridCol w:w="1275"/>
      </w:tblGrid>
      <w:tr w:rsidR="00B01D22" w:rsidRPr="00B01D22" w:rsidTr="00B01D22">
        <w:trPr>
          <w:trHeight w:val="996"/>
        </w:trPr>
        <w:tc>
          <w:tcPr>
            <w:tcW w:w="812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2839" w:type="dxa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Четырёхугольники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 .Параллелограмм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вводной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</w:tr>
      <w:tr w:rsidR="00B01D22" w:rsidRPr="00B01D22" w:rsidTr="00B01D22">
        <w:trPr>
          <w:trHeight w:val="427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Признаки параллелограмма Решение задач то теме «Параллелограмм».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 Трапеция.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Площади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Площадь многоугольника.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многоугольника…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треугольника..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площадей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фигур..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</w:t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Определение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подобных  треугольников</w:t>
            </w:r>
            <w:proofErr w:type="gramEnd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Средняя линия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Окружность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Решение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задач.   </w:t>
            </w:r>
            <w:proofErr w:type="gramEnd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2.04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вписанные углы»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Решение задач по теме «Окружность».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треугольники. Окружность. Решение задач.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Четырехугольники. Площадь. Решение задач.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</w:tr>
    </w:tbl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Вводная контрольная работа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№1 по теме: «Четырёхугольники»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№2 по теме: «Площади»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3 по теме «Подобные треугольники»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№4 по теме: «Соотношения между сторонами и углами прямоугольного треугольника»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5 по теме: «Окружность»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Итоговая контрольная работа</w:t>
      </w:r>
    </w:p>
    <w:p w:rsidR="00B01D22" w:rsidRPr="00483DC6" w:rsidRDefault="00B01D22" w:rsidP="003A22E6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sectPr w:rsidR="00B01D22" w:rsidRPr="00483DC6" w:rsidSect="008E1B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5219"/>
    <w:multiLevelType w:val="multilevel"/>
    <w:tmpl w:val="B64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53277"/>
    <w:multiLevelType w:val="multilevel"/>
    <w:tmpl w:val="89A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D1CD8"/>
    <w:multiLevelType w:val="multilevel"/>
    <w:tmpl w:val="75FE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47A83"/>
    <w:multiLevelType w:val="multilevel"/>
    <w:tmpl w:val="9A7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210C0"/>
    <w:multiLevelType w:val="multilevel"/>
    <w:tmpl w:val="7EE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90399"/>
    <w:multiLevelType w:val="hybridMultilevel"/>
    <w:tmpl w:val="C66E0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2549"/>
    <w:multiLevelType w:val="multilevel"/>
    <w:tmpl w:val="7BC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96862"/>
    <w:multiLevelType w:val="hybridMultilevel"/>
    <w:tmpl w:val="AAE8F6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FA4875"/>
    <w:multiLevelType w:val="multilevel"/>
    <w:tmpl w:val="D11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41B0E"/>
    <w:multiLevelType w:val="multilevel"/>
    <w:tmpl w:val="428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5"/>
    <w:rsid w:val="001E4680"/>
    <w:rsid w:val="00287E48"/>
    <w:rsid w:val="002E2F17"/>
    <w:rsid w:val="002E7FA2"/>
    <w:rsid w:val="003157BA"/>
    <w:rsid w:val="003A22E6"/>
    <w:rsid w:val="003A5F62"/>
    <w:rsid w:val="00483DC6"/>
    <w:rsid w:val="005532A6"/>
    <w:rsid w:val="00713111"/>
    <w:rsid w:val="008C7645"/>
    <w:rsid w:val="008E1B83"/>
    <w:rsid w:val="00946E7D"/>
    <w:rsid w:val="00957E2C"/>
    <w:rsid w:val="00966612"/>
    <w:rsid w:val="00972A5B"/>
    <w:rsid w:val="00A94504"/>
    <w:rsid w:val="00AA10C5"/>
    <w:rsid w:val="00B01D22"/>
    <w:rsid w:val="00B10CF6"/>
    <w:rsid w:val="00B86876"/>
    <w:rsid w:val="00E92113"/>
    <w:rsid w:val="00E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7A85E-2E55-477B-BFC3-89224423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48"/>
  </w:style>
  <w:style w:type="paragraph" w:styleId="2">
    <w:name w:val="heading 2"/>
    <w:basedOn w:val="a"/>
    <w:link w:val="20"/>
    <w:uiPriority w:val="9"/>
    <w:qFormat/>
    <w:rsid w:val="008C7645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paragraph" w:styleId="4">
    <w:name w:val="heading 4"/>
    <w:basedOn w:val="a"/>
    <w:link w:val="40"/>
    <w:uiPriority w:val="9"/>
    <w:qFormat/>
    <w:rsid w:val="008C7645"/>
    <w:pPr>
      <w:spacing w:before="100" w:beforeAutospacing="1" w:after="100" w:afterAutospacing="1" w:line="240" w:lineRule="auto"/>
      <w:outlineLvl w:val="3"/>
    </w:pPr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8C7645"/>
    <w:pPr>
      <w:spacing w:before="100" w:beforeAutospacing="1" w:after="100" w:afterAutospacing="1" w:line="240" w:lineRule="auto"/>
      <w:outlineLvl w:val="4"/>
    </w:pPr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645"/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8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5"/>
    <w:rPr>
      <w:b/>
      <w:bCs/>
    </w:rPr>
  </w:style>
  <w:style w:type="character" w:styleId="a5">
    <w:name w:val="Emphasis"/>
    <w:basedOn w:val="a0"/>
    <w:uiPriority w:val="20"/>
    <w:qFormat/>
    <w:rsid w:val="008C7645"/>
    <w:rPr>
      <w:i/>
      <w:iCs/>
    </w:rPr>
  </w:style>
  <w:style w:type="paragraph" w:styleId="a6">
    <w:name w:val="List Paragraph"/>
    <w:basedOn w:val="a"/>
    <w:uiPriority w:val="34"/>
    <w:qFormat/>
    <w:rsid w:val="00483DC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21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994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1102">
                      <w:marLeft w:val="0"/>
                      <w:marRight w:val="0"/>
                      <w:marTop w:val="0"/>
                      <w:marBottom w:val="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0767">
                              <w:marLeft w:val="107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743D-657B-47CA-9C5B-A4E8A683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Шевакова</cp:lastModifiedBy>
  <cp:revision>9</cp:revision>
  <cp:lastPrinted>2019-09-13T10:18:00Z</cp:lastPrinted>
  <dcterms:created xsi:type="dcterms:W3CDTF">2019-09-08T15:43:00Z</dcterms:created>
  <dcterms:modified xsi:type="dcterms:W3CDTF">2019-11-04T06:49:00Z</dcterms:modified>
</cp:coreProperties>
</file>